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FC087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3. Zusätzliche technische Vertragsbedingungen</w:t>
      </w:r>
    </w:p>
    <w:p w14:paraId="0429CC92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299A22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  <w:u w:val="single"/>
        </w:rPr>
        <w:t>3.1 Anforderungen an das Personal</w:t>
      </w:r>
    </w:p>
    <w:p w14:paraId="6AEDA274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Die Fachfirma muss mindestens die Gütezeichen "Güteschutz Kanalbau" Gruppe I und R gemäß Gütesicherung RAL-GZ 961 besitzen. die Nachweise sind auf Verlangen vorzulegen.</w:t>
      </w:r>
    </w:p>
    <w:p w14:paraId="397E2D82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38A4A753" w14:textId="5AEEDDB0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Das eingesetzte Personal muss ausreichend Fachwissen und Erfahrung (mind. 1 Jahr) im jeweiligen Einsatzbereich besitzen und regelmäßig fachspezifisch (z.B. DWA, TÜV, TBG, Güteschutz) geschult werden.</w:t>
      </w:r>
    </w:p>
    <w:p w14:paraId="1FB3DF7D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2918B10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Die Durchführung der jährlichen Unterweisungen in die Unfallverhütungsvorschriften und die arbeitsmedizinischen Vorsorgeuntersuchungen sind auf Verlangen nachzuweisen.</w:t>
      </w:r>
    </w:p>
    <w:p w14:paraId="3490B7AF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2EE38A5E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  <w:u w:val="single"/>
        </w:rPr>
        <w:t>3.2 Anforderungen an Ausrüstungen</w:t>
      </w:r>
    </w:p>
    <w:p w14:paraId="6A401129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3.2.1 Arbeitsschutz und Arbeitssicherheit</w:t>
      </w:r>
    </w:p>
    <w:p w14:paraId="36DF4A0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Der AN hat die erforderlichen Arbeitsschutz- und Arbeitssicherheitsausrüstungen gemäß den UVV-Vorschriften der Berufsgenossenschaft bzw. der Unfallkassen vorzuhalten und einzusetzen.</w:t>
      </w:r>
    </w:p>
    <w:p w14:paraId="2F26E8B9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02BACB5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Bei den entsprechenden Arbeiten sind daher mindestens folgende Geräte vor Ort bereitzustellen und bei Erfordernis zu nutzen:</w:t>
      </w:r>
    </w:p>
    <w:p w14:paraId="53168830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Gassmess- und warngeräte</w:t>
      </w:r>
    </w:p>
    <w:p w14:paraId="22738843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Höhensicherung</w:t>
      </w:r>
    </w:p>
    <w:p w14:paraId="453F2F42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Dreibock</w:t>
      </w:r>
    </w:p>
    <w:p w14:paraId="2404C44E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Sitz- und Rettungsgurte</w:t>
      </w:r>
    </w:p>
    <w:p w14:paraId="65EBA931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Explosionsgeschützte Handlampen</w:t>
      </w:r>
    </w:p>
    <w:p w14:paraId="1CC6BA3C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Sauerstoffschnellretter</w:t>
      </w:r>
    </w:p>
    <w:p w14:paraId="0EE345D3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Schachtgitter</w:t>
      </w:r>
    </w:p>
    <w:p w14:paraId="3FFA61B4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PSA</w:t>
      </w:r>
    </w:p>
    <w:p w14:paraId="03831D1F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</w:p>
    <w:p w14:paraId="5800E2DC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Die Herstellervorgaben zur Bedienung und zur Wartung sind einzuhalten. Dies ist auf Verlangen nachzuweisen.</w:t>
      </w:r>
    </w:p>
    <w:p w14:paraId="350BFF65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ind w:left="150"/>
        <w:rPr>
          <w:rFonts w:ascii="Arial" w:hAnsi="Arial" w:cs="Arial"/>
          <w:kern w:val="0"/>
          <w:sz w:val="20"/>
          <w:szCs w:val="20"/>
        </w:rPr>
      </w:pPr>
    </w:p>
    <w:p w14:paraId="285187A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3.2.2 Technische Ausrüstung und Anforderung für Kanalinspektion</w:t>
      </w:r>
    </w:p>
    <w:p w14:paraId="5ACCFF55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Die optische Inspektion ist als Zustandserfassung auf Grundlage des Arbeitsblattes DWA M 149-5 auszuführen.</w:t>
      </w:r>
    </w:p>
    <w:p w14:paraId="056C438A" w14:textId="0744BC23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Die Fahrgeschwindigkeit muss, auf Grundlage der Vorschriften, den Gegebenheiten </w:t>
      </w:r>
      <w:r>
        <w:rPr>
          <w:rFonts w:ascii="Arial" w:hAnsi="Arial" w:cs="Arial"/>
          <w:kern w:val="0"/>
          <w:sz w:val="20"/>
          <w:szCs w:val="20"/>
        </w:rPr>
        <w:t>angepasst</w:t>
      </w:r>
      <w:r>
        <w:rPr>
          <w:rFonts w:ascii="Arial" w:hAnsi="Arial" w:cs="Arial"/>
          <w:kern w:val="0"/>
          <w:sz w:val="20"/>
          <w:szCs w:val="20"/>
        </w:rPr>
        <w:t xml:space="preserve"> sein.</w:t>
      </w:r>
    </w:p>
    <w:p w14:paraId="2567A893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Bei fließendem Wasser während der Untersuchung muss eine Dokumentation der Rohrsohle möglich sein. Bei zu trübem oder zu viel Wasser sind Maßnahmen zur Wasserhaltung zu ergreifen.</w:t>
      </w:r>
    </w:p>
    <w:p w14:paraId="14BAE606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Bei Regen sind die Arbeiten zu unterbrechen</w:t>
      </w:r>
    </w:p>
    <w:p w14:paraId="611726C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Die Zustandsbewertung erfolgt durch den AG</w:t>
      </w:r>
    </w:p>
    <w:p w14:paraId="5036AB4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Dokumentation auf Datenträger:</w:t>
      </w:r>
    </w:p>
    <w:p w14:paraId="5C54C117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Allgemeine Daten: Firmenname, Aufnahmedatum, Ort, Straße, Witterung, Anfangs- und Endschacht-Nr., Kanalhaltungs-Nr. Fliesrichtung (Schlüssel) Untersuchungsarten (Schlüssel) </w:t>
      </w:r>
    </w:p>
    <w:p w14:paraId="3A807F73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Profil (Schlüssel): Profilbreite und Profilhöhe (mm)</w:t>
      </w:r>
    </w:p>
    <w:p w14:paraId="6EA62E6C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Baustoff (Schlüssel): Zahl der Anschlüsse an eine Kanalhaltung, Rohrlänge (m), Entwässerungssystem, Abwasserart.</w:t>
      </w:r>
    </w:p>
    <w:p w14:paraId="784FE8A8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Zustandsarten: Anfangsschachtentfernung (m), Lage des Schadens (Schlüssel), Schadenskürzel (Schlüssel), Schadensgruppe (Schlüssel)</w:t>
      </w:r>
    </w:p>
    <w:p w14:paraId="2C9D65F3" w14:textId="54FD704E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Streckenschadenlänge (m), Einmessung der Anschlüsse, DVD-Nr. Foto-Nr., Zählerstand, </w:t>
      </w:r>
      <w:r>
        <w:rPr>
          <w:rFonts w:ascii="Arial" w:hAnsi="Arial" w:cs="Arial"/>
          <w:kern w:val="0"/>
          <w:sz w:val="20"/>
          <w:szCs w:val="20"/>
        </w:rPr>
        <w:t>b</w:t>
      </w:r>
      <w:r>
        <w:rPr>
          <w:rFonts w:ascii="Arial" w:hAnsi="Arial" w:cs="Arial"/>
          <w:kern w:val="0"/>
          <w:sz w:val="20"/>
          <w:szCs w:val="20"/>
        </w:rPr>
        <w:t>esondere Vorkommnisse</w:t>
      </w:r>
    </w:p>
    <w:p w14:paraId="2D5CEAED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0AD6328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den Bereich der zu speichernden Kanaldaten gehören mind. folgende Zustandsdaten, die während der Kanaluntersuchung erfasst werden:</w:t>
      </w:r>
    </w:p>
    <w:p w14:paraId="76C1E64C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Rohrleitung: Undichtigkeiten (Boden sichtbar !), Abflusshindernisse, Lageabweichungen, mechanischer Verschleiß, Korrosion, Verformung, Risse, Rohrbrüche,</w:t>
      </w:r>
    </w:p>
    <w:p w14:paraId="07ACD99D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Einsturz, Grundwasserinfiltration, Abwasserexfiltration.</w:t>
      </w:r>
    </w:p>
    <w:p w14:paraId="0D251403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27D5E80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Schacht / Bauwerk: Datum, Schacht-/ Bauwerksnummer, Baustoff, Bauverfahren.</w:t>
      </w:r>
    </w:p>
    <w:p w14:paraId="7E9F432A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3EE0AD53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Die bei der Erfassung der baulichen Kanalzustandsdaten zu verwendenden Begriffe und Abkürzungen sind gem. DIN EN 13508-2 in Zusammenhang mit DWA-M 149-2 vorgegeben. </w:t>
      </w:r>
    </w:p>
    <w:p w14:paraId="4C6627C9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lastRenderedPageBreak/>
        <w:t>Anschlüsse sind grundsätzlich dem entsprechenden Anwesen zuzuordnen bzw. als Straßeneinlaufleitung anzugeben.</w:t>
      </w:r>
    </w:p>
    <w:p w14:paraId="061133AC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CF8054E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Ansonsten gelten die Vorgaben des DWA-M 149-8</w:t>
      </w:r>
    </w:p>
    <w:p w14:paraId="31F0678A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EC0E9AE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3.2.3 Technische Ausrüstung und Anforderung für Kanalreinigung</w:t>
      </w:r>
    </w:p>
    <w:p w14:paraId="79D19C29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Das Räumgut darf nicht in die weiterführende Kanalisation gelangen und muss sofort und umfassend abgesaugt werden.</w:t>
      </w:r>
    </w:p>
    <w:p w14:paraId="7960DD15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140E6924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Bei Arbeiten im Kanalnetz hat der AN grundsätzlich die Wasserentnahme grundsätzlich mit einem Standrohr mit Zähleinrichtung vorzunehmen. Die verbrauchte Menge ist auf dem Rapportzettel zu vermerken. </w:t>
      </w:r>
    </w:p>
    <w:p w14:paraId="07E43CF5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A03434B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Reinigungsumfang der turnusgemäßen Reinigung:</w:t>
      </w:r>
    </w:p>
    <w:p w14:paraId="4A39683E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Ablagerungen auf Kanalsohle / Bauwerkssohlen vollständig beseitigen.</w:t>
      </w:r>
    </w:p>
    <w:p w14:paraId="1760DDC1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Wände und Böden von Schächten und Bauwerken gründlich reinigen</w:t>
      </w:r>
    </w:p>
    <w:p w14:paraId="7A27F6AC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Schmutzfänger entleeren und reinigen</w:t>
      </w:r>
    </w:p>
    <w:p w14:paraId="6A2F2236" w14:textId="77777777" w:rsidR="0074646A" w:rsidRDefault="0074646A" w:rsidP="007464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Rahmen und Auflager des Schachtdeckels gründlich reinigen</w:t>
      </w:r>
    </w:p>
    <w:p w14:paraId="2D406A07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1B30646A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Der Reinigungsumfang (Beseitigung von Sielhaut an den Wänden, Beseitigung von Verzopfungen usw.) der baulichen Anlagen innerhalb der Kläranlagen und der Entlastungsbauwerke wird vor Beginn der Arbeiten vom AG bestimmt.</w:t>
      </w:r>
    </w:p>
    <w:p w14:paraId="2A88F02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270EF9D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Für die Reinigung sind kombinierte Hochdruckspül- und Saugfahrzeuge einzusetzen. </w:t>
      </w:r>
    </w:p>
    <w:p w14:paraId="21A53AC5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ACC5E26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Leistungsdaten des Spülfahrzeuges (Mindestanforderung):</w:t>
      </w:r>
    </w:p>
    <w:p w14:paraId="6D44B5B0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FFB11A0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Kombiniertes Kanalreinigungsfahrzeug, 10 m³ Fassungsvermögen, HD-Wasserpumpe 300 l/min, 140 - 180 bar, Saugleitung DN 100, Vakuumpumpe Fördermenge Q = 750 m³/h, 200 m Spülschlauch. Die maximal zulässige Druckhöhe beträgt für Altkanäle 80 bar, für Neukanäle 100 bar an der Düse.</w:t>
      </w:r>
    </w:p>
    <w:p w14:paraId="5DE02E85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Bei Reinigung mit händisch geführten Gerätschaften an Schächten und Bauwerken können ggfls. höhere Drücke zur Anwendung kommen. Aufschluss hierüber kann einer vorhergehende visuelle Beprobung am zu reinigenden Bauwerk geben.</w:t>
      </w:r>
    </w:p>
    <w:p w14:paraId="7C6586D8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DF30733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Die Leistung des einzusetzenden Gerätes ist abhängig vom Verschmutzungsgrad und baulichen Zustand anzupassen, damit Beschädigungen an Rohren und Bauwerksflächen vermieden werden. </w:t>
      </w:r>
    </w:p>
    <w:p w14:paraId="4F681DBF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84A09A4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Die einzelnen Spüldüsen müssen komplett offen sein, damit eine radial gleichmäßige Verteilung des Spüldruckes gegeben ist.</w:t>
      </w:r>
    </w:p>
    <w:p w14:paraId="7B60CFF0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4C161197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Der zeitliche Abstand zwischen Reinigung und TV-Untersuchung des Kanalabschnittes ist auf max. 1 Tag zu beschränken.</w:t>
      </w:r>
    </w:p>
    <w:p w14:paraId="05AD9AD0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018BF94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Treten beim Spülgut größere Anteile von Boden oder Bruchstücken von Rohrleitungen auf, ist die Reinigung sofort abzubrechen.</w:t>
      </w:r>
    </w:p>
    <w:p w14:paraId="007A7C7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604AF46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Bei Reinigung baulicher Arbeiten wird preislich nicht unterschieden zwischen Arbeiten im Freien oder Arbeiten, die vom Freien aus durchgeführt werden können und Arbeiten in geschlossenen Räumen (u.a. Staukanäle und Vorlagenbehälter)</w:t>
      </w:r>
    </w:p>
    <w:p w14:paraId="2CC5016D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1CD46E51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Der AG stellt in Hauenstein, Landauer Straße zentral für alle Einsatzorte innerhalb der VG Hauenstein ein ausreichend großes Zwischenlager für Räumgut aus der Kanalisation und den Entlastungsanlagen zur Verfügung. </w:t>
      </w:r>
    </w:p>
    <w:p w14:paraId="1C98EA5A" w14:textId="77777777" w:rsidR="0074646A" w:rsidRDefault="0074646A" w:rsidP="007464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Das Räumgut kann dort entwässern. Nach Vorgabe des AG ist das zwischengelagerte Material fachgerecht zu entsorgen.</w:t>
      </w:r>
    </w:p>
    <w:p w14:paraId="635B04C5" w14:textId="77777777" w:rsidR="00811656" w:rsidRDefault="00811656"/>
    <w:sectPr w:rsidR="00811656" w:rsidSect="0074646A">
      <w:pgSz w:w="11906" w:h="16838" w:code="9"/>
      <w:pgMar w:top="1417" w:right="1417" w:bottom="1134" w:left="141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2C48D08"/>
    <w:lvl w:ilvl="0">
      <w:numFmt w:val="bullet"/>
      <w:lvlText w:val="*"/>
      <w:lvlJc w:val="left"/>
    </w:lvl>
  </w:abstractNum>
  <w:num w:numId="1" w16cid:durableId="1977448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6A"/>
    <w:rsid w:val="002A78A3"/>
    <w:rsid w:val="00667B1A"/>
    <w:rsid w:val="0074646A"/>
    <w:rsid w:val="00811656"/>
    <w:rsid w:val="0091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7337"/>
  <w15:chartTrackingRefBased/>
  <w15:docId w15:val="{6178E695-44B0-483F-A642-F3B85D20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46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46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646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6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646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64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64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64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64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64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64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64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646A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646A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646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646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646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646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464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6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46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6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46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646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4646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4646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464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646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4646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4995</Characters>
  <Application>Microsoft Office Word</Application>
  <DocSecurity>0</DocSecurity>
  <Lines>41</Lines>
  <Paragraphs>11</Paragraphs>
  <ScaleCrop>false</ScaleCrop>
  <Company>GmbH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Helge</dc:creator>
  <cp:keywords/>
  <dc:description/>
  <cp:lastModifiedBy>Schneider Helge</cp:lastModifiedBy>
  <cp:revision>2</cp:revision>
  <dcterms:created xsi:type="dcterms:W3CDTF">2026-06-02T13:37:00Z</dcterms:created>
  <dcterms:modified xsi:type="dcterms:W3CDTF">2026-06-02T13:39:00Z</dcterms:modified>
</cp:coreProperties>
</file>